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CAD7" w14:textId="77777777" w:rsidR="00381B17" w:rsidRPr="00E1103C" w:rsidRDefault="00E05C35" w:rsidP="003C62EE">
      <w:pPr>
        <w:pStyle w:val="Tabell"/>
        <w:ind w:left="-142"/>
        <w:rPr>
          <w:b/>
          <w:bCs/>
          <w:sz w:val="24"/>
          <w:szCs w:val="24"/>
          <w:lang w:val="nb-NO"/>
        </w:rPr>
      </w:pPr>
      <w:r w:rsidRPr="00E1103C">
        <w:rPr>
          <w:b/>
          <w:bCs/>
          <w:sz w:val="24"/>
          <w:szCs w:val="24"/>
          <w:lang w:val="nb-NO"/>
        </w:rPr>
        <w:t xml:space="preserve">Møtereferat </w:t>
      </w:r>
    </w:p>
    <w:p w14:paraId="5B8C5BBE" w14:textId="77777777" w:rsidR="00381B17" w:rsidRPr="005F77DE" w:rsidRDefault="00381B17">
      <w:pPr>
        <w:rPr>
          <w:rFonts w:ascii="Arial" w:hAnsi="Arial"/>
          <w:lang w:val="nb-NO"/>
        </w:rPr>
      </w:pP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26"/>
        <w:gridCol w:w="7447"/>
      </w:tblGrid>
      <w:tr w:rsidR="00381B17" w:rsidRPr="00F03496" w14:paraId="19AD5DD6" w14:textId="77777777">
        <w:trPr>
          <w:trHeight w:val="333"/>
        </w:trPr>
        <w:tc>
          <w:tcPr>
            <w:tcW w:w="1626" w:type="dxa"/>
            <w:tcBorders>
              <w:top w:val="single" w:sz="6" w:space="0" w:color="auto"/>
              <w:left w:val="single" w:sz="6" w:space="0" w:color="auto"/>
              <w:bottom w:val="single" w:sz="6" w:space="0" w:color="auto"/>
              <w:right w:val="single" w:sz="6" w:space="0" w:color="auto"/>
            </w:tcBorders>
            <w:shd w:val="clear" w:color="auto" w:fill="C0C0C0"/>
          </w:tcPr>
          <w:p w14:paraId="32A8665C" w14:textId="77777777" w:rsidR="00381B17" w:rsidRPr="00E1103C" w:rsidRDefault="00381B17">
            <w:pPr>
              <w:pStyle w:val="Tabell"/>
              <w:rPr>
                <w:b/>
                <w:bCs/>
                <w:sz w:val="20"/>
                <w:lang w:val="nb-NO"/>
              </w:rPr>
            </w:pPr>
            <w:r w:rsidRPr="00E1103C">
              <w:rPr>
                <w:b/>
                <w:bCs/>
                <w:sz w:val="20"/>
                <w:lang w:val="nb-NO"/>
              </w:rPr>
              <w:t>Dat</w:t>
            </w:r>
            <w:r w:rsidR="00E05C35" w:rsidRPr="00E1103C">
              <w:rPr>
                <w:b/>
                <w:bCs/>
                <w:sz w:val="20"/>
                <w:lang w:val="nb-NO"/>
              </w:rPr>
              <w:t>o</w:t>
            </w:r>
            <w:r w:rsidRPr="00E1103C">
              <w:rPr>
                <w:b/>
                <w:bCs/>
                <w:sz w:val="20"/>
                <w:lang w:val="nb-NO"/>
              </w:rPr>
              <w:t>:</w:t>
            </w:r>
          </w:p>
        </w:tc>
        <w:tc>
          <w:tcPr>
            <w:tcW w:w="7447" w:type="dxa"/>
            <w:tcBorders>
              <w:top w:val="single" w:sz="6" w:space="0" w:color="auto"/>
              <w:left w:val="single" w:sz="6" w:space="0" w:color="auto"/>
              <w:bottom w:val="single" w:sz="6" w:space="0" w:color="auto"/>
              <w:right w:val="single" w:sz="6" w:space="0" w:color="auto"/>
            </w:tcBorders>
          </w:tcPr>
          <w:p w14:paraId="016BA534" w14:textId="77777777" w:rsidR="00381B17" w:rsidRPr="00E1103C" w:rsidRDefault="000D27C7" w:rsidP="00F03496">
            <w:pPr>
              <w:pStyle w:val="Tabell"/>
              <w:rPr>
                <w:sz w:val="20"/>
                <w:lang w:val="nb-NO"/>
              </w:rPr>
            </w:pPr>
            <w:r>
              <w:rPr>
                <w:sz w:val="20"/>
                <w:lang w:val="nb-NO"/>
              </w:rPr>
              <w:t>11.11.2020</w:t>
            </w:r>
          </w:p>
        </w:tc>
      </w:tr>
      <w:tr w:rsidR="00381B17" w:rsidRPr="00F03496" w14:paraId="0603C524" w14:textId="77777777">
        <w:trPr>
          <w:trHeight w:val="333"/>
        </w:trPr>
        <w:tc>
          <w:tcPr>
            <w:tcW w:w="1626" w:type="dxa"/>
            <w:tcBorders>
              <w:top w:val="single" w:sz="6" w:space="0" w:color="auto"/>
              <w:left w:val="single" w:sz="6" w:space="0" w:color="auto"/>
              <w:bottom w:val="single" w:sz="6" w:space="0" w:color="auto"/>
              <w:right w:val="single" w:sz="6" w:space="0" w:color="auto"/>
            </w:tcBorders>
            <w:shd w:val="clear" w:color="auto" w:fill="C0C0C0"/>
          </w:tcPr>
          <w:p w14:paraId="2AF59916" w14:textId="77777777" w:rsidR="00381B17" w:rsidRPr="00E1103C" w:rsidRDefault="00E05C35">
            <w:pPr>
              <w:pStyle w:val="Tabell"/>
              <w:rPr>
                <w:b/>
                <w:bCs/>
                <w:sz w:val="20"/>
                <w:lang w:val="nb-NO"/>
              </w:rPr>
            </w:pPr>
            <w:r w:rsidRPr="00E1103C">
              <w:rPr>
                <w:b/>
                <w:bCs/>
                <w:sz w:val="20"/>
                <w:lang w:val="nb-NO"/>
              </w:rPr>
              <w:t>Sted</w:t>
            </w:r>
            <w:r w:rsidR="00381B17" w:rsidRPr="00E1103C">
              <w:rPr>
                <w:b/>
                <w:bCs/>
                <w:sz w:val="20"/>
                <w:lang w:val="nb-NO"/>
              </w:rPr>
              <w:t>:</w:t>
            </w:r>
          </w:p>
        </w:tc>
        <w:tc>
          <w:tcPr>
            <w:tcW w:w="7447" w:type="dxa"/>
            <w:tcBorders>
              <w:top w:val="single" w:sz="6" w:space="0" w:color="auto"/>
              <w:left w:val="single" w:sz="6" w:space="0" w:color="auto"/>
              <w:bottom w:val="single" w:sz="6" w:space="0" w:color="auto"/>
              <w:right w:val="single" w:sz="6" w:space="0" w:color="auto"/>
            </w:tcBorders>
          </w:tcPr>
          <w:p w14:paraId="2AFEA4C4" w14:textId="77777777" w:rsidR="00381B17" w:rsidRPr="00E1103C" w:rsidRDefault="000D27C7">
            <w:pPr>
              <w:pStyle w:val="Tabell"/>
              <w:rPr>
                <w:sz w:val="20"/>
                <w:lang w:val="nb-NO"/>
              </w:rPr>
            </w:pPr>
            <w:r>
              <w:rPr>
                <w:sz w:val="20"/>
                <w:lang w:val="nb-NO"/>
              </w:rPr>
              <w:t>Whereby/diagitalt</w:t>
            </w:r>
          </w:p>
        </w:tc>
      </w:tr>
      <w:tr w:rsidR="00381B17" w:rsidRPr="000D27C7" w14:paraId="548EC762" w14:textId="77777777">
        <w:trPr>
          <w:trHeight w:val="348"/>
        </w:trPr>
        <w:tc>
          <w:tcPr>
            <w:tcW w:w="1626" w:type="dxa"/>
            <w:tcBorders>
              <w:top w:val="single" w:sz="6" w:space="0" w:color="auto"/>
              <w:left w:val="single" w:sz="6" w:space="0" w:color="auto"/>
              <w:bottom w:val="single" w:sz="6" w:space="0" w:color="auto"/>
              <w:right w:val="single" w:sz="6" w:space="0" w:color="auto"/>
            </w:tcBorders>
            <w:shd w:val="clear" w:color="auto" w:fill="C0C0C0"/>
          </w:tcPr>
          <w:p w14:paraId="59AEAE50" w14:textId="77777777" w:rsidR="00381B17" w:rsidRPr="00E1103C" w:rsidRDefault="00E05C35">
            <w:pPr>
              <w:pStyle w:val="Tabell"/>
              <w:rPr>
                <w:b/>
                <w:bCs/>
                <w:sz w:val="20"/>
                <w:lang w:val="nb-NO"/>
              </w:rPr>
            </w:pPr>
            <w:r w:rsidRPr="00E1103C">
              <w:rPr>
                <w:b/>
                <w:bCs/>
                <w:sz w:val="20"/>
                <w:lang w:val="nb-NO"/>
              </w:rPr>
              <w:t>Deltakere</w:t>
            </w:r>
            <w:r w:rsidR="00381B17" w:rsidRPr="00E1103C">
              <w:rPr>
                <w:b/>
                <w:bCs/>
                <w:sz w:val="20"/>
                <w:lang w:val="nb-NO"/>
              </w:rPr>
              <w:t>:</w:t>
            </w:r>
          </w:p>
        </w:tc>
        <w:tc>
          <w:tcPr>
            <w:tcW w:w="7447" w:type="dxa"/>
            <w:tcBorders>
              <w:top w:val="single" w:sz="6" w:space="0" w:color="auto"/>
              <w:left w:val="single" w:sz="6" w:space="0" w:color="auto"/>
              <w:bottom w:val="single" w:sz="6" w:space="0" w:color="auto"/>
              <w:right w:val="single" w:sz="6" w:space="0" w:color="auto"/>
            </w:tcBorders>
          </w:tcPr>
          <w:p w14:paraId="1D62060C" w14:textId="77777777" w:rsidR="00381B17" w:rsidRPr="00F03496" w:rsidRDefault="002221D7" w:rsidP="000D27C7">
            <w:pPr>
              <w:pStyle w:val="Tabell"/>
              <w:rPr>
                <w:sz w:val="20"/>
                <w:lang w:val="sv-SE"/>
              </w:rPr>
            </w:pPr>
            <w:r>
              <w:rPr>
                <w:sz w:val="20"/>
                <w:lang w:val="sv-SE"/>
              </w:rPr>
              <w:t xml:space="preserve">Ola Gunnar Johnsrud, </w:t>
            </w:r>
            <w:r w:rsidR="000D27C7">
              <w:rPr>
                <w:sz w:val="20"/>
                <w:lang w:val="sv-SE"/>
              </w:rPr>
              <w:t>Johann Rud; Svein Willasen, Siri Jacobsen og Annelise Flaa</w:t>
            </w:r>
          </w:p>
        </w:tc>
      </w:tr>
    </w:tbl>
    <w:p w14:paraId="0483F051" w14:textId="77777777" w:rsidR="00E1103C" w:rsidRDefault="00E1103C" w:rsidP="00E1103C">
      <w:pPr>
        <w:pStyle w:val="Tabell"/>
        <w:rPr>
          <w:b/>
          <w:bCs/>
          <w:sz w:val="24"/>
          <w:szCs w:val="24"/>
          <w:lang w:val="nb-NO"/>
        </w:rPr>
      </w:pPr>
    </w:p>
    <w:p w14:paraId="54A7149D" w14:textId="77777777" w:rsidR="008F6841" w:rsidRDefault="008F6841" w:rsidP="003C62EE">
      <w:pPr>
        <w:pStyle w:val="Tabell"/>
        <w:ind w:left="-142"/>
        <w:rPr>
          <w:b/>
          <w:bCs/>
          <w:sz w:val="24"/>
          <w:szCs w:val="24"/>
          <w:lang w:val="en-US"/>
        </w:rPr>
      </w:pPr>
      <w:r>
        <w:rPr>
          <w:b/>
          <w:bCs/>
          <w:sz w:val="24"/>
          <w:szCs w:val="24"/>
          <w:lang w:val="en-US"/>
        </w:rPr>
        <w:t>Referat</w:t>
      </w:r>
    </w:p>
    <w:p w14:paraId="28CEA5ED" w14:textId="77777777" w:rsidR="00381B17" w:rsidRPr="004E29D4" w:rsidRDefault="00381B17" w:rsidP="003C62EE">
      <w:pPr>
        <w:pStyle w:val="Tabell"/>
        <w:ind w:left="-142"/>
        <w:rPr>
          <w:sz w:val="20"/>
          <w:lang w:val="en-US"/>
        </w:rPr>
      </w:pPr>
    </w:p>
    <w:tbl>
      <w:tblPr>
        <w:tblW w:w="927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84"/>
        <w:gridCol w:w="4394"/>
      </w:tblGrid>
      <w:tr w:rsidR="000733E6" w:rsidRPr="00E1103C" w14:paraId="25D1D6D1" w14:textId="77777777" w:rsidTr="00DA7D7A">
        <w:tc>
          <w:tcPr>
            <w:tcW w:w="4884" w:type="dxa"/>
            <w:tcBorders>
              <w:top w:val="single" w:sz="6" w:space="0" w:color="auto"/>
              <w:left w:val="single" w:sz="6" w:space="0" w:color="auto"/>
              <w:bottom w:val="single" w:sz="6" w:space="0" w:color="auto"/>
              <w:right w:val="single" w:sz="6" w:space="0" w:color="auto"/>
            </w:tcBorders>
            <w:shd w:val="clear" w:color="auto" w:fill="C0C0C0"/>
          </w:tcPr>
          <w:p w14:paraId="1AC0353D" w14:textId="77777777" w:rsidR="000733E6" w:rsidRPr="00E1103C" w:rsidRDefault="000733E6">
            <w:pPr>
              <w:pStyle w:val="Tabell"/>
              <w:rPr>
                <w:b/>
                <w:bCs/>
                <w:sz w:val="20"/>
                <w:lang w:val="nb-NO"/>
              </w:rPr>
            </w:pPr>
            <w:r w:rsidRPr="00E1103C">
              <w:rPr>
                <w:b/>
                <w:bCs/>
                <w:sz w:val="20"/>
                <w:lang w:val="nb-NO"/>
              </w:rPr>
              <w:t>Tema</w:t>
            </w:r>
          </w:p>
        </w:tc>
        <w:tc>
          <w:tcPr>
            <w:tcW w:w="4394" w:type="dxa"/>
            <w:tcBorders>
              <w:top w:val="single" w:sz="6" w:space="0" w:color="auto"/>
              <w:left w:val="single" w:sz="6" w:space="0" w:color="auto"/>
              <w:bottom w:val="single" w:sz="6" w:space="0" w:color="auto"/>
              <w:right w:val="single" w:sz="6" w:space="0" w:color="auto"/>
            </w:tcBorders>
            <w:shd w:val="clear" w:color="auto" w:fill="C0C0C0"/>
          </w:tcPr>
          <w:p w14:paraId="5AC72B38" w14:textId="77777777" w:rsidR="000733E6" w:rsidRPr="00E1103C" w:rsidRDefault="000733E6">
            <w:pPr>
              <w:pStyle w:val="Tabell"/>
              <w:rPr>
                <w:b/>
                <w:bCs/>
                <w:sz w:val="20"/>
                <w:lang w:val="nb-NO"/>
              </w:rPr>
            </w:pPr>
            <w:r>
              <w:rPr>
                <w:b/>
                <w:bCs/>
                <w:sz w:val="20"/>
                <w:lang w:val="nb-NO"/>
              </w:rPr>
              <w:t>Ansvarlig</w:t>
            </w:r>
          </w:p>
        </w:tc>
      </w:tr>
      <w:tr w:rsidR="000733E6" w:rsidRPr="000D27C7" w14:paraId="6094C472" w14:textId="77777777" w:rsidTr="00DA7D7A">
        <w:tc>
          <w:tcPr>
            <w:tcW w:w="4884" w:type="dxa"/>
            <w:tcBorders>
              <w:top w:val="single" w:sz="6" w:space="0" w:color="auto"/>
              <w:left w:val="single" w:sz="6" w:space="0" w:color="auto"/>
              <w:bottom w:val="single" w:sz="6" w:space="0" w:color="auto"/>
              <w:right w:val="single" w:sz="6" w:space="0" w:color="auto"/>
            </w:tcBorders>
          </w:tcPr>
          <w:p w14:paraId="7E2AD0BC" w14:textId="77777777" w:rsidR="000733E6" w:rsidRDefault="000D27C7" w:rsidP="007756E0">
            <w:pPr>
              <w:tabs>
                <w:tab w:val="left" w:pos="1440"/>
              </w:tabs>
              <w:overflowPunct/>
              <w:spacing w:after="0"/>
              <w:textAlignment w:val="auto"/>
              <w:rPr>
                <w:lang w:val="nb-NO"/>
              </w:rPr>
            </w:pPr>
            <w:bookmarkStart w:id="0" w:name="_Hlk22063550"/>
            <w:r>
              <w:rPr>
                <w:rFonts w:asciiTheme="minorHAnsi" w:hAnsiTheme="minorHAnsi"/>
                <w:sz w:val="24"/>
                <w:szCs w:val="24"/>
                <w:lang w:val="nb-NO"/>
              </w:rPr>
              <w:t xml:space="preserve">Innkalt til styremøte på bakgrunnn av innkalling fra </w:t>
            </w:r>
            <w:r w:rsidR="00EB0937">
              <w:rPr>
                <w:rFonts w:asciiTheme="minorHAnsi" w:hAnsiTheme="minorHAnsi"/>
                <w:sz w:val="24"/>
                <w:szCs w:val="24"/>
                <w:lang w:val="nb-NO"/>
              </w:rPr>
              <w:t>NSSF</w:t>
            </w:r>
            <w:r>
              <w:rPr>
                <w:rFonts w:asciiTheme="minorHAnsi" w:hAnsiTheme="minorHAnsi"/>
                <w:sz w:val="24"/>
                <w:szCs w:val="24"/>
                <w:lang w:val="nb-NO"/>
              </w:rPr>
              <w:t xml:space="preserve"> til møte torsdag 12.11 med følgende agenda:</w:t>
            </w:r>
            <w:r w:rsidRPr="000D27C7">
              <w:rPr>
                <w:lang w:val="nb-NO"/>
              </w:rPr>
              <w:t xml:space="preserve"> </w:t>
            </w:r>
            <w:r w:rsidRPr="000D27C7">
              <w:rPr>
                <w:lang w:val="nb-NO"/>
              </w:rPr>
              <w:br/>
              <w:t>  *   Kort orientering om dagens situasjon og hva som gjelder mtp smittevernregler</w:t>
            </w:r>
            <w:r w:rsidRPr="000D27C7">
              <w:rPr>
                <w:lang w:val="nb-NO"/>
              </w:rPr>
              <w:br/>
              <w:t>  *   Nasjonale arrangement sett i lys av dagens situasjon</w:t>
            </w:r>
            <w:r w:rsidRPr="000D27C7">
              <w:rPr>
                <w:lang w:val="nb-NO"/>
              </w:rPr>
              <w:br/>
              <w:t>  *   Kan regionale renn gjennomføres?</w:t>
            </w:r>
            <w:r w:rsidRPr="000D27C7">
              <w:rPr>
                <w:lang w:val="nb-NO"/>
              </w:rPr>
              <w:br/>
              <w:t>  *   Lokale arrangement, hva gjør vi?</w:t>
            </w:r>
            <w:r w:rsidRPr="000D27C7">
              <w:rPr>
                <w:lang w:val="nb-NO"/>
              </w:rPr>
              <w:br/>
              <w:t>     *   Antall deltakere</w:t>
            </w:r>
            <w:r w:rsidRPr="000D27C7">
              <w:rPr>
                <w:lang w:val="nb-NO"/>
              </w:rPr>
              <w:br/>
              <w:t>     *   Antall funksjonærer</w:t>
            </w:r>
            <w:r w:rsidRPr="000D27C7">
              <w:rPr>
                <w:lang w:val="nb-NO"/>
              </w:rPr>
              <w:br/>
              <w:t>     *   Lavterskeltilbud</w:t>
            </w:r>
            <w:r w:rsidRPr="000D27C7">
              <w:rPr>
                <w:lang w:val="nb-NO"/>
              </w:rPr>
              <w:br/>
              <w:t>     *   Startkontingent, må den justeres slik at vi har arrangørklubber?</w:t>
            </w:r>
          </w:p>
          <w:p w14:paraId="4B96C112" w14:textId="77777777" w:rsidR="000D27C7" w:rsidRPr="000D27C7" w:rsidRDefault="000D27C7" w:rsidP="007756E0">
            <w:pPr>
              <w:tabs>
                <w:tab w:val="left" w:pos="1440"/>
              </w:tabs>
              <w:overflowPunct/>
              <w:spacing w:after="0"/>
              <w:textAlignment w:val="auto"/>
              <w:rPr>
                <w:rFonts w:asciiTheme="minorHAnsi" w:hAnsiTheme="minorHAnsi"/>
                <w:sz w:val="24"/>
                <w:szCs w:val="24"/>
                <w:lang w:val="nb-NO"/>
              </w:rPr>
            </w:pPr>
          </w:p>
          <w:p w14:paraId="7179A448" w14:textId="77777777" w:rsidR="000D27C7" w:rsidRDefault="000D27C7" w:rsidP="007756E0">
            <w:pPr>
              <w:tabs>
                <w:tab w:val="left" w:pos="1440"/>
              </w:tabs>
              <w:overflowPunct/>
              <w:spacing w:after="0"/>
              <w:textAlignment w:val="auto"/>
              <w:rPr>
                <w:rFonts w:asciiTheme="minorHAnsi" w:hAnsiTheme="minorHAnsi"/>
                <w:sz w:val="24"/>
                <w:szCs w:val="24"/>
                <w:lang w:val="nb-NO"/>
              </w:rPr>
            </w:pPr>
            <w:r>
              <w:rPr>
                <w:rFonts w:asciiTheme="minorHAnsi" w:hAnsiTheme="minorHAnsi"/>
                <w:sz w:val="24"/>
                <w:szCs w:val="24"/>
                <w:lang w:val="nb-NO"/>
              </w:rPr>
              <w:t>Johann sendte i forkant ut en kort spørreundersøkelse til klubbene rundt disse spørsmål, med særlig forkus på renn (NC/kvalifiseringer)</w:t>
            </w:r>
          </w:p>
          <w:p w14:paraId="62A048B4" w14:textId="77777777" w:rsidR="000D27C7" w:rsidRPr="00DA51A0" w:rsidRDefault="000D27C7" w:rsidP="007756E0">
            <w:pPr>
              <w:tabs>
                <w:tab w:val="left" w:pos="1440"/>
              </w:tabs>
              <w:overflowPunct/>
              <w:spacing w:after="0"/>
              <w:textAlignment w:val="auto"/>
              <w:rPr>
                <w:rFonts w:asciiTheme="minorHAnsi" w:hAnsiTheme="minorHAnsi"/>
                <w:sz w:val="24"/>
                <w:szCs w:val="24"/>
                <w:lang w:val="nb-NO"/>
              </w:rPr>
            </w:pPr>
          </w:p>
        </w:tc>
        <w:tc>
          <w:tcPr>
            <w:tcW w:w="4394" w:type="dxa"/>
            <w:tcBorders>
              <w:top w:val="single" w:sz="6" w:space="0" w:color="auto"/>
              <w:left w:val="single" w:sz="6" w:space="0" w:color="auto"/>
              <w:bottom w:val="single" w:sz="6" w:space="0" w:color="auto"/>
              <w:right w:val="single" w:sz="6" w:space="0" w:color="auto"/>
            </w:tcBorders>
          </w:tcPr>
          <w:p w14:paraId="3A12069F" w14:textId="77777777" w:rsidR="000733E6" w:rsidRPr="007756E0" w:rsidRDefault="000733E6" w:rsidP="00B31517">
            <w:pPr>
              <w:pStyle w:val="Tabell"/>
              <w:rPr>
                <w:rFonts w:asciiTheme="minorHAnsi" w:hAnsiTheme="minorHAnsi"/>
                <w:sz w:val="20"/>
                <w:lang w:val="nb-NO"/>
              </w:rPr>
            </w:pPr>
          </w:p>
        </w:tc>
      </w:tr>
      <w:tr w:rsidR="000733E6" w:rsidRPr="000D27C7" w14:paraId="13E0F366" w14:textId="77777777" w:rsidTr="00DA7D7A">
        <w:trPr>
          <w:trHeight w:val="300"/>
        </w:trPr>
        <w:tc>
          <w:tcPr>
            <w:tcW w:w="4884" w:type="dxa"/>
            <w:tcBorders>
              <w:top w:val="single" w:sz="6" w:space="0" w:color="auto"/>
              <w:left w:val="single" w:sz="6" w:space="0" w:color="auto"/>
              <w:bottom w:val="single" w:sz="6" w:space="0" w:color="auto"/>
              <w:right w:val="single" w:sz="6" w:space="0" w:color="auto"/>
            </w:tcBorders>
          </w:tcPr>
          <w:p w14:paraId="46413C94" w14:textId="77777777" w:rsidR="000D27C7" w:rsidRPr="003D63B7" w:rsidRDefault="000D27C7" w:rsidP="000D27C7">
            <w:pPr>
              <w:rPr>
                <w:rFonts w:asciiTheme="minorHAnsi" w:hAnsiTheme="minorHAnsi"/>
                <w:noProof w:val="0"/>
                <w:lang w:val="nb-NO" w:eastAsia="en-US"/>
              </w:rPr>
            </w:pPr>
            <w:r w:rsidRPr="003D63B7">
              <w:rPr>
                <w:lang w:val="nb-NO"/>
              </w:rPr>
              <w:t>Gjennom samtaler og en spørreundersøkelse sendt til kretsens klubber var det svært stor enighet om at man ikke bør avlyse rennsesongen nå. Skiskytter Norge er nå i dugnadsmodus. Vi skal alle gjøre en dugnad på vegne av samfunnet i forhold til redusere og eliminere smitte. Samtidig er det viktig å holde lyset oppe for ungdom som finner glede og motivasjon gjennom idretten. Vi erkjenner at helsemyndigheters regler og retningslinjer er ufravikelige. Dog ligger det ikke i dagens regler fra helsemyndighetene et krav om at man avlyser «sosiale sammenkomster frem i tid». FHI oppfrodrer tvert i mot til aktivitet spesielt for gruppen under 20 år. (med unntak av akkurat nå i en stigende fase)</w:t>
            </w:r>
          </w:p>
          <w:p w14:paraId="4FBDDA93" w14:textId="77777777" w:rsidR="000D27C7" w:rsidRPr="003D63B7" w:rsidRDefault="000D27C7" w:rsidP="000D27C7">
            <w:pPr>
              <w:rPr>
                <w:lang w:val="nb-NO"/>
              </w:rPr>
            </w:pPr>
            <w:r w:rsidRPr="003D63B7">
              <w:rPr>
                <w:lang w:val="nb-NO"/>
              </w:rPr>
              <w:t xml:space="preserve">Klubbene og kretsen mener det er viktig for motivasjon og glede at man gjør alt man kan for å gjennomføre sesongen på best mulig måte. </w:t>
            </w:r>
          </w:p>
          <w:p w14:paraId="417706F4" w14:textId="77777777" w:rsidR="000D27C7" w:rsidRPr="003D63B7" w:rsidRDefault="000D27C7" w:rsidP="000D27C7">
            <w:pPr>
              <w:rPr>
                <w:lang w:val="nb-NO"/>
              </w:rPr>
            </w:pPr>
            <w:r w:rsidRPr="003D63B7">
              <w:rPr>
                <w:lang w:val="nb-NO"/>
              </w:rPr>
              <w:lastRenderedPageBreak/>
              <w:t>Kretsen mener sammen med klubbene at man må jobbe iherdig med kreative løsninger for å få gjennomført renn – særlig NC. Hvis det i praksis betyr at man må splitte opp rennhelger, for eksempel dele opp dager eller arrangørsteder for ungdom/junior og senior så må man starte der.</w:t>
            </w:r>
          </w:p>
          <w:p w14:paraId="0E529868" w14:textId="77777777" w:rsidR="000D27C7" w:rsidRPr="003D63B7" w:rsidRDefault="000D27C7" w:rsidP="000D27C7">
            <w:pPr>
              <w:rPr>
                <w:lang w:val="nb-NO"/>
              </w:rPr>
            </w:pPr>
            <w:r w:rsidRPr="003D63B7">
              <w:rPr>
                <w:lang w:val="nb-NO"/>
              </w:rPr>
              <w:t xml:space="preserve">Hvis det i ytterste konsekvens betyr at man kan arrangere renn utelukkende med stående skyting- så er det bedre enn ikke noe renn. Også hvis det betyr at man ikke har kapasitet til å gjennomføre innskyting. </w:t>
            </w:r>
          </w:p>
          <w:p w14:paraId="11AD987D" w14:textId="77777777" w:rsidR="000D27C7" w:rsidRPr="003D63B7" w:rsidRDefault="000D27C7" w:rsidP="000D27C7">
            <w:pPr>
              <w:rPr>
                <w:lang w:val="nb-NO"/>
              </w:rPr>
            </w:pPr>
            <w:r w:rsidRPr="003D63B7">
              <w:rPr>
                <w:lang w:val="nb-NO"/>
              </w:rPr>
              <w:t>Man bør på ingen måte avlyse NC for de yngre klassene, mens man planlegger å arrangere for senior – slik Norges Skiforbund foreslo.</w:t>
            </w:r>
          </w:p>
          <w:p w14:paraId="4BBFAA8F" w14:textId="77777777" w:rsidR="003D63B7" w:rsidRPr="003D63B7" w:rsidRDefault="000D27C7" w:rsidP="000D27C7">
            <w:pPr>
              <w:rPr>
                <w:lang w:val="nb-NO"/>
              </w:rPr>
            </w:pPr>
            <w:r w:rsidRPr="003D63B7">
              <w:rPr>
                <w:lang w:val="nb-NO"/>
              </w:rPr>
              <w:t xml:space="preserve">Det er kretsens og klubbens klare oppfatning at uttak til representasjon for Norge i mesterskap </w:t>
            </w:r>
            <w:r w:rsidRPr="003D63B7">
              <w:rPr>
                <w:u w:val="single"/>
                <w:lang w:val="nb-NO"/>
              </w:rPr>
              <w:t>MÅ</w:t>
            </w:r>
            <w:r w:rsidRPr="003D63B7">
              <w:rPr>
                <w:lang w:val="nb-NO"/>
              </w:rPr>
              <w:t xml:space="preserve"> være forankret i renn fra denne vinteren. Det vil si at hvis en velger å sende løpere til mesterskap – så må vi ha gjennomført minimum 1 uttaksrenn hvor ALLE har fått anledning til å kvalifisere seg. Hvis det betyr at man i første runde må arrangere lokale/regionale uttaksrenn som kvalifiserer til et landsomfattende kvalifiseringsrenn – så er det løsningen. </w:t>
            </w:r>
          </w:p>
          <w:p w14:paraId="12FEFDCE" w14:textId="77777777" w:rsidR="003D63B7" w:rsidRPr="003D63B7" w:rsidRDefault="000D27C7" w:rsidP="000D27C7">
            <w:pPr>
              <w:rPr>
                <w:lang w:val="nb-NO"/>
              </w:rPr>
            </w:pPr>
            <w:r w:rsidRPr="003D63B7">
              <w:rPr>
                <w:lang w:val="nb-NO"/>
              </w:rPr>
              <w:t>Det bør ikke være slik at NSSF gjør skjønnsmessige uttak, utover de allerede eksisterende retningslinjer (opp til 1 løper på skjønn). Uttak til for eksempel EM bør også følge de tilrådninger som gitt her. Det er særlig viktig i denne sesongen, hvor utøvere allerede er i en vanskelig situasjon, at man ikke sementerer en holdning ved at «de som var best i fjor og i forfjor» er fortsatt best – uten at man prøver dette.</w:t>
            </w:r>
          </w:p>
          <w:p w14:paraId="5B5B70BF" w14:textId="77777777" w:rsidR="000D27C7" w:rsidRPr="003D63B7" w:rsidRDefault="000D27C7" w:rsidP="000D27C7">
            <w:pPr>
              <w:rPr>
                <w:lang w:val="nb-NO"/>
              </w:rPr>
            </w:pPr>
            <w:r w:rsidRPr="003D63B7">
              <w:rPr>
                <w:lang w:val="nb-NO"/>
              </w:rPr>
              <w:t>Utviklingstrappa gjelder også i sesongen 2020/2021.</w:t>
            </w:r>
          </w:p>
          <w:p w14:paraId="5E012FF8" w14:textId="77777777" w:rsidR="003D63B7" w:rsidRPr="003D63B7" w:rsidRDefault="000D27C7" w:rsidP="003D63B7">
            <w:pPr>
              <w:rPr>
                <w:rFonts w:asciiTheme="minorHAnsi" w:hAnsiTheme="minorHAnsi"/>
                <w:noProof w:val="0"/>
                <w:lang w:val="nb-NO" w:eastAsia="en-US"/>
              </w:rPr>
            </w:pPr>
            <w:r w:rsidRPr="003D63B7">
              <w:rPr>
                <w:lang w:val="nb-NO"/>
              </w:rPr>
              <w:t>Kretsen gjør de samme vurderinger omkring gjennomføring av HL. Kreative løsninger for gjennomføring – puljer av 30 løpere av</w:t>
            </w:r>
            <w:r w:rsidR="003D63B7" w:rsidRPr="003D63B7">
              <w:rPr>
                <w:lang w:val="nb-NO"/>
              </w:rPr>
              <w:t xml:space="preserve"> gangen, og i ytterste konsekvens bare 1 renndag vurderes bedre enn avlysning.</w:t>
            </w:r>
          </w:p>
          <w:p w14:paraId="6E9A1C1A" w14:textId="77777777" w:rsidR="003D63B7" w:rsidRPr="003D63B7" w:rsidRDefault="003D63B7" w:rsidP="003D63B7">
            <w:pPr>
              <w:rPr>
                <w:lang w:val="nb-NO"/>
              </w:rPr>
            </w:pPr>
            <w:r w:rsidRPr="003D63B7">
              <w:rPr>
                <w:lang w:val="nb-NO"/>
              </w:rPr>
              <w:t xml:space="preserve">Kretsen og klubbene mener det vil være stor forståelse for om renn må avlyses på kort varsel. </w:t>
            </w:r>
          </w:p>
          <w:p w14:paraId="2934F793" w14:textId="77777777" w:rsidR="003D63B7" w:rsidRPr="003D63B7" w:rsidRDefault="003D63B7" w:rsidP="003D63B7">
            <w:pPr>
              <w:rPr>
                <w:rFonts w:ascii="Calibri" w:hAnsi="Calibri"/>
                <w:iCs/>
                <w:noProof w:val="0"/>
                <w:lang w:val="nb-NO" w:eastAsia="nb-NO"/>
              </w:rPr>
            </w:pPr>
            <w:r w:rsidRPr="003D63B7">
              <w:rPr>
                <w:lang w:val="nb-NO"/>
              </w:rPr>
              <w:t>Kretsen vil søke å samarbeide med klubbene om å få arrangert så mye aktivitet som mulig lokalt. Dette er viktig at NSSF også bidrar med. Økonomisk støtte og ressurser og kunnskapsdeling mellom arrangører kan bidra til aktivitet og at vi kommer styrket ut av situasjonen.</w:t>
            </w:r>
            <w:r w:rsidRPr="003D63B7">
              <w:rPr>
                <w:iCs/>
                <w:lang w:val="nb-NO"/>
              </w:rPr>
              <w:t xml:space="preserve"> Kretsen erkjenner at å holde på</w:t>
            </w:r>
            <w:r w:rsidRPr="003D63B7">
              <w:rPr>
                <w:i/>
                <w:iCs/>
                <w:lang w:val="nb-NO"/>
              </w:rPr>
              <w:t xml:space="preserve"> </w:t>
            </w:r>
            <w:r w:rsidRPr="003D63B7">
              <w:rPr>
                <w:iCs/>
                <w:lang w:val="nb-NO"/>
              </w:rPr>
              <w:lastRenderedPageBreak/>
              <w:t>terminlisten så lenge som mulig kan medføre at ressurser blir bundet opp, og med det kan føre til redusert fleksibilitet og omstillingsevne ved avlysninger av renn på kort varsel.</w:t>
            </w:r>
          </w:p>
          <w:p w14:paraId="700A8C0E" w14:textId="77777777" w:rsidR="003D63B7" w:rsidRPr="003D63B7" w:rsidRDefault="003D63B7" w:rsidP="003D63B7">
            <w:pPr>
              <w:rPr>
                <w:iCs/>
                <w:lang w:val="nb-NO"/>
              </w:rPr>
            </w:pPr>
            <w:r w:rsidRPr="003D63B7">
              <w:rPr>
                <w:iCs/>
                <w:lang w:val="nb-NO"/>
              </w:rPr>
              <w:t>Det kan føre til at en ikke klarer å arrangere renn i det hele tatt.</w:t>
            </w:r>
          </w:p>
          <w:p w14:paraId="5FABE421" w14:textId="77777777" w:rsidR="003D63B7" w:rsidRPr="003D63B7" w:rsidRDefault="003D63B7" w:rsidP="003D63B7">
            <w:pPr>
              <w:rPr>
                <w:iCs/>
                <w:lang w:val="nb-NO"/>
              </w:rPr>
            </w:pPr>
          </w:p>
          <w:p w14:paraId="605BA752" w14:textId="77777777" w:rsidR="003D63B7" w:rsidRDefault="003D63B7" w:rsidP="003D63B7">
            <w:pPr>
              <w:rPr>
                <w:iCs/>
                <w:lang w:val="nb-NO"/>
              </w:rPr>
            </w:pPr>
            <w:r w:rsidRPr="003D63B7">
              <w:rPr>
                <w:iCs/>
                <w:lang w:val="nb-NO"/>
              </w:rPr>
              <w:t>Kretsens klubber viser stor dugnadsiver – og klubber jobber med løsninger for å kunne arrangere renn på kort varsel.</w:t>
            </w:r>
          </w:p>
          <w:p w14:paraId="372ECCC1" w14:textId="77777777" w:rsidR="003D63B7" w:rsidRPr="003D63B7" w:rsidRDefault="003D63B7" w:rsidP="003D63B7">
            <w:pPr>
              <w:rPr>
                <w:iCs/>
                <w:lang w:val="nb-NO"/>
              </w:rPr>
            </w:pPr>
            <w:r>
              <w:rPr>
                <w:iCs/>
                <w:lang w:val="nb-NO"/>
              </w:rPr>
              <w:t>Vi må sikre fortsatt motivasjon for å drive med skiskyting, til flest mulig utøvere.</w:t>
            </w:r>
          </w:p>
          <w:p w14:paraId="1971EB65" w14:textId="77777777" w:rsidR="003D63B7" w:rsidRPr="003D63B7" w:rsidRDefault="003D63B7" w:rsidP="003D63B7">
            <w:pPr>
              <w:rPr>
                <w:lang w:val="nb-NO"/>
              </w:rPr>
            </w:pPr>
          </w:p>
          <w:p w14:paraId="42604F05" w14:textId="77777777" w:rsidR="003D63B7" w:rsidRPr="003D63B7" w:rsidRDefault="003D63B7" w:rsidP="003D63B7">
            <w:pPr>
              <w:rPr>
                <w:lang w:val="nb-NO"/>
              </w:rPr>
            </w:pPr>
          </w:p>
          <w:p w14:paraId="03C437AE" w14:textId="77777777" w:rsidR="000733E6" w:rsidRPr="003D63B7" w:rsidRDefault="000733E6" w:rsidP="000D27C7">
            <w:pPr>
              <w:tabs>
                <w:tab w:val="left" w:pos="1440"/>
              </w:tabs>
              <w:overflowPunct/>
              <w:spacing w:after="0"/>
              <w:textAlignment w:val="auto"/>
              <w:rPr>
                <w:rFonts w:asciiTheme="minorHAnsi" w:hAnsiTheme="minorHAnsi"/>
                <w:sz w:val="24"/>
                <w:szCs w:val="24"/>
                <w:lang w:val="nb-NO"/>
              </w:rPr>
            </w:pPr>
          </w:p>
        </w:tc>
        <w:tc>
          <w:tcPr>
            <w:tcW w:w="4394" w:type="dxa"/>
            <w:tcBorders>
              <w:top w:val="single" w:sz="6" w:space="0" w:color="auto"/>
              <w:left w:val="single" w:sz="6" w:space="0" w:color="auto"/>
              <w:bottom w:val="single" w:sz="6" w:space="0" w:color="auto"/>
              <w:right w:val="single" w:sz="6" w:space="0" w:color="auto"/>
            </w:tcBorders>
          </w:tcPr>
          <w:p w14:paraId="1998BEEB" w14:textId="77777777" w:rsidR="000733E6" w:rsidRPr="00B876A9" w:rsidRDefault="000733E6" w:rsidP="005A0AB4">
            <w:pPr>
              <w:pStyle w:val="Tabell"/>
              <w:rPr>
                <w:rFonts w:asciiTheme="minorHAnsi" w:hAnsiTheme="minorHAnsi"/>
                <w:sz w:val="24"/>
                <w:szCs w:val="24"/>
                <w:lang w:val="nb-NO"/>
              </w:rPr>
            </w:pPr>
          </w:p>
        </w:tc>
      </w:tr>
    </w:tbl>
    <w:bookmarkEnd w:id="0"/>
    <w:p w14:paraId="37E6421C" w14:textId="77777777" w:rsidR="00381B17" w:rsidRPr="002F4D5A" w:rsidRDefault="00381B17">
      <w:pPr>
        <w:tabs>
          <w:tab w:val="left" w:pos="360"/>
        </w:tabs>
        <w:rPr>
          <w:rFonts w:ascii="Times New Roman" w:hAnsi="Times New Roman"/>
          <w:sz w:val="24"/>
          <w:szCs w:val="24"/>
          <w:lang w:val="nn-NO"/>
        </w:rPr>
      </w:pPr>
      <w:r w:rsidRPr="002F4D5A">
        <w:rPr>
          <w:rFonts w:ascii="Arial" w:hAnsi="Arial"/>
          <w:sz w:val="24"/>
          <w:szCs w:val="24"/>
          <w:lang w:val="nn-NO"/>
        </w:rPr>
        <w:lastRenderedPageBreak/>
        <w:tab/>
      </w:r>
      <w:r w:rsidRPr="002F4D5A">
        <w:rPr>
          <w:rFonts w:ascii="Times New Roman" w:hAnsi="Times New Roman"/>
          <w:sz w:val="24"/>
          <w:szCs w:val="24"/>
          <w:lang w:val="nn-NO"/>
        </w:rPr>
        <w:tab/>
      </w:r>
    </w:p>
    <w:p w14:paraId="1782EC8A" w14:textId="77777777" w:rsidR="00E414CA" w:rsidRPr="002F4D5A" w:rsidRDefault="00E414CA" w:rsidP="00E414CA">
      <w:pPr>
        <w:tabs>
          <w:tab w:val="left" w:pos="720"/>
        </w:tabs>
        <w:ind w:left="717"/>
        <w:rPr>
          <w:sz w:val="24"/>
          <w:szCs w:val="24"/>
          <w:lang w:val="nn-NO"/>
        </w:rPr>
      </w:pPr>
    </w:p>
    <w:sectPr w:rsidR="00E414CA" w:rsidRPr="002F4D5A">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DD98" w14:textId="77777777" w:rsidR="002B204E" w:rsidRDefault="002B204E">
      <w:r>
        <w:separator/>
      </w:r>
    </w:p>
  </w:endnote>
  <w:endnote w:type="continuationSeparator" w:id="0">
    <w:p w14:paraId="0238EECD" w14:textId="77777777" w:rsidR="002B204E" w:rsidRDefault="002B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7A27E" w14:textId="77777777" w:rsidR="00C5297D" w:rsidRDefault="00C5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0A852" w14:textId="77777777" w:rsidR="00CE1E7D" w:rsidRDefault="00CE1E7D">
    <w:pPr>
      <w:pStyle w:val="Footer"/>
      <w:jc w:val="center"/>
      <w:rPr>
        <w:rFonts w:ascii="Arial" w:hAnsi="Arial"/>
        <w:sz w:val="16"/>
      </w:rPr>
    </w:pPr>
    <w:r>
      <w:rPr>
        <w:rFonts w:ascii="Arial" w:hAnsi="Arial"/>
        <w:sz w:val="16"/>
      </w:rPr>
      <w:t xml:space="preserve">Side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B0937">
      <w:rPr>
        <w:rFonts w:ascii="Arial" w:hAnsi="Arial"/>
        <w:sz w:val="16"/>
      </w:rPr>
      <w:t>3</w:t>
    </w:r>
    <w:r>
      <w:rPr>
        <w:rFonts w:ascii="Arial" w:hAnsi="Arial"/>
        <w:sz w:val="16"/>
      </w:rPr>
      <w:fldChar w:fldCharType="end"/>
    </w:r>
    <w:r>
      <w:rPr>
        <w:rFonts w:ascii="Arial" w:hAnsi="Arial"/>
        <w:sz w:val="16"/>
      </w:rPr>
      <w:t xml:space="preserve"> av </w:t>
    </w:r>
    <w:r>
      <w:rPr>
        <w:rFonts w:ascii="Arial" w:hAnsi="Arial"/>
        <w:sz w:val="16"/>
      </w:rPr>
      <w:fldChar w:fldCharType="begin"/>
    </w:r>
    <w:r>
      <w:rPr>
        <w:rFonts w:ascii="Arial" w:hAnsi="Arial"/>
        <w:sz w:val="16"/>
      </w:rPr>
      <w:instrText xml:space="preserve"> NUMPAGES </w:instrText>
    </w:r>
    <w:r>
      <w:rPr>
        <w:rFonts w:ascii="Arial" w:hAnsi="Arial"/>
        <w:sz w:val="16"/>
      </w:rPr>
      <w:fldChar w:fldCharType="separate"/>
    </w:r>
    <w:r w:rsidR="00EB0937">
      <w:rPr>
        <w:rFonts w:ascii="Arial" w:hAnsi="Arial"/>
        <w:sz w:val="16"/>
      </w:rPr>
      <w:t>3</w:t>
    </w:r>
    <w:r>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3AEE" w14:textId="77777777" w:rsidR="00C5297D" w:rsidRDefault="00C52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91EBC" w14:textId="77777777" w:rsidR="002B204E" w:rsidRDefault="002B204E">
      <w:r>
        <w:separator/>
      </w:r>
    </w:p>
  </w:footnote>
  <w:footnote w:type="continuationSeparator" w:id="0">
    <w:p w14:paraId="5F8D2CB7" w14:textId="77777777" w:rsidR="002B204E" w:rsidRDefault="002B2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F7A81" w14:textId="77777777" w:rsidR="00C5297D" w:rsidRDefault="00C5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03335" w14:textId="77777777" w:rsidR="00C5297D" w:rsidRDefault="00C52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F68C2" w14:textId="77777777" w:rsidR="00C5297D" w:rsidRDefault="00C529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ADC4AA40"/>
    <w:lvl w:ilvl="0">
      <w:numFmt w:val="none"/>
      <w:lvlText w:val=""/>
      <w:lvlJc w:val="left"/>
    </w:lvl>
    <w:lvl w:ilvl="1">
      <w:start w:val="1"/>
      <w:numFmt w:val="decimal"/>
      <w:pStyle w:val="Heading2"/>
      <w:lvlText w:val=".%2"/>
      <w:legacy w:legacy="1" w:legacySpace="120" w:legacyIndent="576"/>
      <w:lvlJc w:val="left"/>
      <w:pPr>
        <w:ind w:left="576" w:hanging="576"/>
      </w:pPr>
    </w:lvl>
    <w:lvl w:ilvl="2">
      <w:start w:val="1"/>
      <w:numFmt w:val="decimal"/>
      <w:pStyle w:val="Heading3"/>
      <w:lvlText w:val=".%2.%3"/>
      <w:legacy w:legacy="1" w:legacySpace="120" w:legacyIndent="720"/>
      <w:lvlJc w:val="left"/>
      <w:pPr>
        <w:ind w:left="720" w:hanging="720"/>
      </w:p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E1749F"/>
    <w:multiLevelType w:val="hybridMultilevel"/>
    <w:tmpl w:val="92EAB5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AC35E5"/>
    <w:multiLevelType w:val="hybridMultilevel"/>
    <w:tmpl w:val="F53A571C"/>
    <w:lvl w:ilvl="0" w:tplc="AB86DE0C">
      <w:start w:val="20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0C037B"/>
    <w:multiLevelType w:val="hybridMultilevel"/>
    <w:tmpl w:val="599AD5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777199"/>
    <w:multiLevelType w:val="hybridMultilevel"/>
    <w:tmpl w:val="780E1D6A"/>
    <w:lvl w:ilvl="0" w:tplc="BCE2AC6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F2404A"/>
    <w:multiLevelType w:val="hybridMultilevel"/>
    <w:tmpl w:val="26AE36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D43F30"/>
    <w:multiLevelType w:val="hybridMultilevel"/>
    <w:tmpl w:val="43600DE2"/>
    <w:lvl w:ilvl="0" w:tplc="08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46527D0"/>
    <w:multiLevelType w:val="hybridMultilevel"/>
    <w:tmpl w:val="CEB2355A"/>
    <w:lvl w:ilvl="0" w:tplc="172EC21A">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5563DA5"/>
    <w:multiLevelType w:val="hybridMultilevel"/>
    <w:tmpl w:val="340612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8D276C"/>
    <w:multiLevelType w:val="hybridMultilevel"/>
    <w:tmpl w:val="03589B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90154"/>
    <w:multiLevelType w:val="hybridMultilevel"/>
    <w:tmpl w:val="019E6E22"/>
    <w:lvl w:ilvl="0" w:tplc="AB86DE0C">
      <w:start w:val="2015"/>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96F3B54"/>
    <w:multiLevelType w:val="hybridMultilevel"/>
    <w:tmpl w:val="8FE0F87C"/>
    <w:lvl w:ilvl="0" w:tplc="1CAC52E4">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49263C"/>
    <w:multiLevelType w:val="hybridMultilevel"/>
    <w:tmpl w:val="20BC36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6FE6D5C"/>
    <w:multiLevelType w:val="hybridMultilevel"/>
    <w:tmpl w:val="5B006D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A0029"/>
    <w:multiLevelType w:val="hybridMultilevel"/>
    <w:tmpl w:val="8E9EC5DE"/>
    <w:lvl w:ilvl="0" w:tplc="04140001">
      <w:start w:val="1"/>
      <w:numFmt w:val="bullet"/>
      <w:lvlText w:val=""/>
      <w:lvlJc w:val="left"/>
      <w:pPr>
        <w:ind w:left="795" w:hanging="360"/>
      </w:pPr>
      <w:rPr>
        <w:rFonts w:ascii="Symbol" w:hAnsi="Symbol" w:hint="default"/>
      </w:rPr>
    </w:lvl>
    <w:lvl w:ilvl="1" w:tplc="04140003" w:tentative="1">
      <w:start w:val="1"/>
      <w:numFmt w:val="bullet"/>
      <w:lvlText w:val="o"/>
      <w:lvlJc w:val="left"/>
      <w:pPr>
        <w:ind w:left="1515" w:hanging="360"/>
      </w:pPr>
      <w:rPr>
        <w:rFonts w:ascii="Courier New" w:hAnsi="Courier New" w:cs="Courier New" w:hint="default"/>
      </w:rPr>
    </w:lvl>
    <w:lvl w:ilvl="2" w:tplc="04140005" w:tentative="1">
      <w:start w:val="1"/>
      <w:numFmt w:val="bullet"/>
      <w:lvlText w:val=""/>
      <w:lvlJc w:val="left"/>
      <w:pPr>
        <w:ind w:left="2235" w:hanging="360"/>
      </w:pPr>
      <w:rPr>
        <w:rFonts w:ascii="Wingdings" w:hAnsi="Wingdings" w:hint="default"/>
      </w:rPr>
    </w:lvl>
    <w:lvl w:ilvl="3" w:tplc="04140001" w:tentative="1">
      <w:start w:val="1"/>
      <w:numFmt w:val="bullet"/>
      <w:lvlText w:val=""/>
      <w:lvlJc w:val="left"/>
      <w:pPr>
        <w:ind w:left="2955" w:hanging="360"/>
      </w:pPr>
      <w:rPr>
        <w:rFonts w:ascii="Symbol" w:hAnsi="Symbol" w:hint="default"/>
      </w:rPr>
    </w:lvl>
    <w:lvl w:ilvl="4" w:tplc="04140003" w:tentative="1">
      <w:start w:val="1"/>
      <w:numFmt w:val="bullet"/>
      <w:lvlText w:val="o"/>
      <w:lvlJc w:val="left"/>
      <w:pPr>
        <w:ind w:left="3675" w:hanging="360"/>
      </w:pPr>
      <w:rPr>
        <w:rFonts w:ascii="Courier New" w:hAnsi="Courier New" w:cs="Courier New" w:hint="default"/>
      </w:rPr>
    </w:lvl>
    <w:lvl w:ilvl="5" w:tplc="04140005" w:tentative="1">
      <w:start w:val="1"/>
      <w:numFmt w:val="bullet"/>
      <w:lvlText w:val=""/>
      <w:lvlJc w:val="left"/>
      <w:pPr>
        <w:ind w:left="4395" w:hanging="360"/>
      </w:pPr>
      <w:rPr>
        <w:rFonts w:ascii="Wingdings" w:hAnsi="Wingdings" w:hint="default"/>
      </w:rPr>
    </w:lvl>
    <w:lvl w:ilvl="6" w:tplc="04140001" w:tentative="1">
      <w:start w:val="1"/>
      <w:numFmt w:val="bullet"/>
      <w:lvlText w:val=""/>
      <w:lvlJc w:val="left"/>
      <w:pPr>
        <w:ind w:left="5115" w:hanging="360"/>
      </w:pPr>
      <w:rPr>
        <w:rFonts w:ascii="Symbol" w:hAnsi="Symbol" w:hint="default"/>
      </w:rPr>
    </w:lvl>
    <w:lvl w:ilvl="7" w:tplc="04140003" w:tentative="1">
      <w:start w:val="1"/>
      <w:numFmt w:val="bullet"/>
      <w:lvlText w:val="o"/>
      <w:lvlJc w:val="left"/>
      <w:pPr>
        <w:ind w:left="5835" w:hanging="360"/>
      </w:pPr>
      <w:rPr>
        <w:rFonts w:ascii="Courier New" w:hAnsi="Courier New" w:cs="Courier New" w:hint="default"/>
      </w:rPr>
    </w:lvl>
    <w:lvl w:ilvl="8" w:tplc="04140005" w:tentative="1">
      <w:start w:val="1"/>
      <w:numFmt w:val="bullet"/>
      <w:lvlText w:val=""/>
      <w:lvlJc w:val="left"/>
      <w:pPr>
        <w:ind w:left="6555" w:hanging="360"/>
      </w:pPr>
      <w:rPr>
        <w:rFonts w:ascii="Wingdings" w:hAnsi="Wingdings" w:hint="default"/>
      </w:rPr>
    </w:lvl>
  </w:abstractNum>
  <w:abstractNum w:abstractNumId="15" w15:restartNumberingAfterBreak="0">
    <w:nsid w:val="37A27036"/>
    <w:multiLevelType w:val="hybridMultilevel"/>
    <w:tmpl w:val="131A3D82"/>
    <w:lvl w:ilvl="0" w:tplc="08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A161FAA"/>
    <w:multiLevelType w:val="hybridMultilevel"/>
    <w:tmpl w:val="08BED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FA537B"/>
    <w:multiLevelType w:val="hybridMultilevel"/>
    <w:tmpl w:val="5CD2777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735D23"/>
    <w:multiLevelType w:val="hybridMultilevel"/>
    <w:tmpl w:val="AF0E49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C6540F6"/>
    <w:multiLevelType w:val="hybridMultilevel"/>
    <w:tmpl w:val="CCA202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281EEE"/>
    <w:multiLevelType w:val="hybridMultilevel"/>
    <w:tmpl w:val="B810C8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6CF4836"/>
    <w:multiLevelType w:val="hybridMultilevel"/>
    <w:tmpl w:val="261450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76121E0"/>
    <w:multiLevelType w:val="hybridMultilevel"/>
    <w:tmpl w:val="8AB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8E37A67"/>
    <w:multiLevelType w:val="hybridMultilevel"/>
    <w:tmpl w:val="34D40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9BE3237"/>
    <w:multiLevelType w:val="hybridMultilevel"/>
    <w:tmpl w:val="4950E5BC"/>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5" w15:restartNumberingAfterBreak="0">
    <w:nsid w:val="4B1A76A7"/>
    <w:multiLevelType w:val="hybridMultilevel"/>
    <w:tmpl w:val="62B05C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4F6E94"/>
    <w:multiLevelType w:val="hybridMultilevel"/>
    <w:tmpl w:val="F09061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4A6138"/>
    <w:multiLevelType w:val="hybridMultilevel"/>
    <w:tmpl w:val="EB62D7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3244140"/>
    <w:multiLevelType w:val="hybridMultilevel"/>
    <w:tmpl w:val="E098D2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4994433"/>
    <w:multiLevelType w:val="hybridMultilevel"/>
    <w:tmpl w:val="24D67D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4AF7D86"/>
    <w:multiLevelType w:val="hybridMultilevel"/>
    <w:tmpl w:val="C0B806A2"/>
    <w:lvl w:ilvl="0" w:tplc="BCE2AC6E">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5490A53"/>
    <w:multiLevelType w:val="hybridMultilevel"/>
    <w:tmpl w:val="9C26DE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5D51BCF"/>
    <w:multiLevelType w:val="hybridMultilevel"/>
    <w:tmpl w:val="1786F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8057324"/>
    <w:multiLevelType w:val="hybridMultilevel"/>
    <w:tmpl w:val="FB2E99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DE731C"/>
    <w:multiLevelType w:val="hybridMultilevel"/>
    <w:tmpl w:val="A18CF3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D11A9F"/>
    <w:multiLevelType w:val="hybridMultilevel"/>
    <w:tmpl w:val="665436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D2F139B"/>
    <w:multiLevelType w:val="hybridMultilevel"/>
    <w:tmpl w:val="A95A7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182710B"/>
    <w:multiLevelType w:val="hybridMultilevel"/>
    <w:tmpl w:val="6890FADA"/>
    <w:lvl w:ilvl="0" w:tplc="08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8" w15:restartNumberingAfterBreak="0">
    <w:nsid w:val="68B23189"/>
    <w:multiLevelType w:val="hybridMultilevel"/>
    <w:tmpl w:val="263C4D42"/>
    <w:lvl w:ilvl="0" w:tplc="08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EF4610C"/>
    <w:multiLevelType w:val="hybridMultilevel"/>
    <w:tmpl w:val="86503C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0497C83"/>
    <w:multiLevelType w:val="hybridMultilevel"/>
    <w:tmpl w:val="2458B4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7F70C46"/>
    <w:multiLevelType w:val="hybridMultilevel"/>
    <w:tmpl w:val="31B45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8151864"/>
    <w:multiLevelType w:val="hybridMultilevel"/>
    <w:tmpl w:val="DA5A3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99D460D"/>
    <w:multiLevelType w:val="hybridMultilevel"/>
    <w:tmpl w:val="75743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2911E6"/>
    <w:multiLevelType w:val="hybridMultilevel"/>
    <w:tmpl w:val="A10497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E333769"/>
    <w:multiLevelType w:val="hybridMultilevel"/>
    <w:tmpl w:val="F96688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EEA3638"/>
    <w:multiLevelType w:val="hybridMultilevel"/>
    <w:tmpl w:val="A072D9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26"/>
  </w:num>
  <w:num w:numId="5">
    <w:abstractNumId w:val="27"/>
  </w:num>
  <w:num w:numId="6">
    <w:abstractNumId w:val="19"/>
  </w:num>
  <w:num w:numId="7">
    <w:abstractNumId w:val="33"/>
  </w:num>
  <w:num w:numId="8">
    <w:abstractNumId w:val="37"/>
  </w:num>
  <w:num w:numId="9">
    <w:abstractNumId w:val="8"/>
  </w:num>
  <w:num w:numId="10">
    <w:abstractNumId w:val="3"/>
  </w:num>
  <w:num w:numId="11">
    <w:abstractNumId w:val="25"/>
  </w:num>
  <w:num w:numId="12">
    <w:abstractNumId w:val="13"/>
  </w:num>
  <w:num w:numId="13">
    <w:abstractNumId w:val="38"/>
  </w:num>
  <w:num w:numId="14">
    <w:abstractNumId w:val="9"/>
  </w:num>
  <w:num w:numId="15">
    <w:abstractNumId w:val="34"/>
  </w:num>
  <w:num w:numId="16">
    <w:abstractNumId w:val="15"/>
  </w:num>
  <w:num w:numId="17">
    <w:abstractNumId w:val="5"/>
  </w:num>
  <w:num w:numId="18">
    <w:abstractNumId w:val="44"/>
  </w:num>
  <w:num w:numId="19">
    <w:abstractNumId w:val="6"/>
  </w:num>
  <w:num w:numId="20">
    <w:abstractNumId w:val="35"/>
  </w:num>
  <w:num w:numId="21">
    <w:abstractNumId w:val="14"/>
  </w:num>
  <w:num w:numId="22">
    <w:abstractNumId w:val="28"/>
  </w:num>
  <w:num w:numId="23">
    <w:abstractNumId w:val="10"/>
  </w:num>
  <w:num w:numId="24">
    <w:abstractNumId w:val="2"/>
  </w:num>
  <w:num w:numId="25">
    <w:abstractNumId w:val="23"/>
  </w:num>
  <w:num w:numId="26">
    <w:abstractNumId w:val="42"/>
  </w:num>
  <w:num w:numId="27">
    <w:abstractNumId w:val="7"/>
  </w:num>
  <w:num w:numId="28">
    <w:abstractNumId w:val="45"/>
  </w:num>
  <w:num w:numId="29">
    <w:abstractNumId w:val="18"/>
  </w:num>
  <w:num w:numId="30">
    <w:abstractNumId w:val="40"/>
  </w:num>
  <w:num w:numId="31">
    <w:abstractNumId w:val="22"/>
  </w:num>
  <w:num w:numId="32">
    <w:abstractNumId w:val="21"/>
  </w:num>
  <w:num w:numId="33">
    <w:abstractNumId w:val="32"/>
  </w:num>
  <w:num w:numId="34">
    <w:abstractNumId w:val="29"/>
  </w:num>
  <w:num w:numId="35">
    <w:abstractNumId w:val="24"/>
  </w:num>
  <w:num w:numId="36">
    <w:abstractNumId w:val="11"/>
  </w:num>
  <w:num w:numId="37">
    <w:abstractNumId w:val="1"/>
  </w:num>
  <w:num w:numId="38">
    <w:abstractNumId w:val="46"/>
  </w:num>
  <w:num w:numId="39">
    <w:abstractNumId w:val="41"/>
  </w:num>
  <w:num w:numId="40">
    <w:abstractNumId w:val="31"/>
  </w:num>
  <w:num w:numId="41">
    <w:abstractNumId w:val="4"/>
  </w:num>
  <w:num w:numId="42">
    <w:abstractNumId w:val="30"/>
  </w:num>
  <w:num w:numId="43">
    <w:abstractNumId w:val="36"/>
  </w:num>
  <w:num w:numId="44">
    <w:abstractNumId w:val="20"/>
  </w:num>
  <w:num w:numId="45">
    <w:abstractNumId w:val="43"/>
  </w:num>
  <w:num w:numId="46">
    <w:abstractNumId w:val="1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8d784438-4ca2-46fe-9162-08f5a9248281"/>
  </w:docVars>
  <w:rsids>
    <w:rsidRoot w:val="00F33FF3"/>
    <w:rsid w:val="0000073B"/>
    <w:rsid w:val="00011F5D"/>
    <w:rsid w:val="00014246"/>
    <w:rsid w:val="00036363"/>
    <w:rsid w:val="000413D4"/>
    <w:rsid w:val="000733E6"/>
    <w:rsid w:val="00076143"/>
    <w:rsid w:val="000808A5"/>
    <w:rsid w:val="000858F7"/>
    <w:rsid w:val="00097DCF"/>
    <w:rsid w:val="000A37D2"/>
    <w:rsid w:val="000A73AA"/>
    <w:rsid w:val="000B3A4D"/>
    <w:rsid w:val="000C0746"/>
    <w:rsid w:val="000C123E"/>
    <w:rsid w:val="000C1AC6"/>
    <w:rsid w:val="000C468D"/>
    <w:rsid w:val="000D134E"/>
    <w:rsid w:val="000D2530"/>
    <w:rsid w:val="000D26EC"/>
    <w:rsid w:val="000D27C7"/>
    <w:rsid w:val="000E78B7"/>
    <w:rsid w:val="000F0167"/>
    <w:rsid w:val="000F5126"/>
    <w:rsid w:val="00100894"/>
    <w:rsid w:val="00106398"/>
    <w:rsid w:val="0011489B"/>
    <w:rsid w:val="00123153"/>
    <w:rsid w:val="00132B46"/>
    <w:rsid w:val="00155456"/>
    <w:rsid w:val="0017568E"/>
    <w:rsid w:val="001778B6"/>
    <w:rsid w:val="00180974"/>
    <w:rsid w:val="001837C9"/>
    <w:rsid w:val="00185C8B"/>
    <w:rsid w:val="0018715B"/>
    <w:rsid w:val="00190C34"/>
    <w:rsid w:val="001B26F2"/>
    <w:rsid w:val="001B3887"/>
    <w:rsid w:val="001C0451"/>
    <w:rsid w:val="001C48B5"/>
    <w:rsid w:val="001C5E00"/>
    <w:rsid w:val="001D67D3"/>
    <w:rsid w:val="001E331C"/>
    <w:rsid w:val="001F30EC"/>
    <w:rsid w:val="002067FD"/>
    <w:rsid w:val="002221D7"/>
    <w:rsid w:val="00224939"/>
    <w:rsid w:val="00232AD9"/>
    <w:rsid w:val="00232CD2"/>
    <w:rsid w:val="00234174"/>
    <w:rsid w:val="002430ED"/>
    <w:rsid w:val="002446B9"/>
    <w:rsid w:val="00246A8B"/>
    <w:rsid w:val="00265355"/>
    <w:rsid w:val="00266985"/>
    <w:rsid w:val="00267242"/>
    <w:rsid w:val="0027591F"/>
    <w:rsid w:val="00284FAE"/>
    <w:rsid w:val="00290367"/>
    <w:rsid w:val="0029684F"/>
    <w:rsid w:val="002A6EA9"/>
    <w:rsid w:val="002B204E"/>
    <w:rsid w:val="002C017A"/>
    <w:rsid w:val="002C2692"/>
    <w:rsid w:val="002F38C4"/>
    <w:rsid w:val="002F4D5A"/>
    <w:rsid w:val="002F53E1"/>
    <w:rsid w:val="002F65DD"/>
    <w:rsid w:val="00322076"/>
    <w:rsid w:val="00343509"/>
    <w:rsid w:val="0036696C"/>
    <w:rsid w:val="00381B17"/>
    <w:rsid w:val="003954C9"/>
    <w:rsid w:val="003B76FD"/>
    <w:rsid w:val="003C1C3E"/>
    <w:rsid w:val="003C62EE"/>
    <w:rsid w:val="003D0056"/>
    <w:rsid w:val="003D16ED"/>
    <w:rsid w:val="003D5966"/>
    <w:rsid w:val="003D63B7"/>
    <w:rsid w:val="003E0B12"/>
    <w:rsid w:val="003E0B4B"/>
    <w:rsid w:val="003E3228"/>
    <w:rsid w:val="003E725F"/>
    <w:rsid w:val="003F036D"/>
    <w:rsid w:val="003F4DE8"/>
    <w:rsid w:val="004204C9"/>
    <w:rsid w:val="0042210E"/>
    <w:rsid w:val="004333F4"/>
    <w:rsid w:val="00441F6B"/>
    <w:rsid w:val="004768CE"/>
    <w:rsid w:val="00485358"/>
    <w:rsid w:val="00485843"/>
    <w:rsid w:val="00490DA1"/>
    <w:rsid w:val="004977C8"/>
    <w:rsid w:val="004A4CDC"/>
    <w:rsid w:val="004A7B47"/>
    <w:rsid w:val="004C2103"/>
    <w:rsid w:val="004C49AD"/>
    <w:rsid w:val="004D7655"/>
    <w:rsid w:val="004E29D4"/>
    <w:rsid w:val="004F559D"/>
    <w:rsid w:val="00516BD0"/>
    <w:rsid w:val="00542A72"/>
    <w:rsid w:val="0055374E"/>
    <w:rsid w:val="005642CD"/>
    <w:rsid w:val="00564460"/>
    <w:rsid w:val="005656E5"/>
    <w:rsid w:val="00567F43"/>
    <w:rsid w:val="0057355C"/>
    <w:rsid w:val="005769A6"/>
    <w:rsid w:val="00576AF3"/>
    <w:rsid w:val="00577402"/>
    <w:rsid w:val="005800EF"/>
    <w:rsid w:val="00585AC4"/>
    <w:rsid w:val="00585D8C"/>
    <w:rsid w:val="005955BA"/>
    <w:rsid w:val="005A0AB4"/>
    <w:rsid w:val="005A542D"/>
    <w:rsid w:val="005A72B3"/>
    <w:rsid w:val="005B3A9B"/>
    <w:rsid w:val="005B7BE4"/>
    <w:rsid w:val="005D1A85"/>
    <w:rsid w:val="005D1F82"/>
    <w:rsid w:val="005E45C1"/>
    <w:rsid w:val="005E6206"/>
    <w:rsid w:val="005F6440"/>
    <w:rsid w:val="005F680C"/>
    <w:rsid w:val="005F77DE"/>
    <w:rsid w:val="00622D73"/>
    <w:rsid w:val="00635EF3"/>
    <w:rsid w:val="006412C8"/>
    <w:rsid w:val="0065083C"/>
    <w:rsid w:val="00651FD5"/>
    <w:rsid w:val="0065688E"/>
    <w:rsid w:val="00691B1A"/>
    <w:rsid w:val="00692D0D"/>
    <w:rsid w:val="006C5321"/>
    <w:rsid w:val="006D6230"/>
    <w:rsid w:val="006F6355"/>
    <w:rsid w:val="00700795"/>
    <w:rsid w:val="007032DB"/>
    <w:rsid w:val="0070686F"/>
    <w:rsid w:val="00720F84"/>
    <w:rsid w:val="00722124"/>
    <w:rsid w:val="00730754"/>
    <w:rsid w:val="00730A81"/>
    <w:rsid w:val="007501DB"/>
    <w:rsid w:val="00751B2B"/>
    <w:rsid w:val="00756EFF"/>
    <w:rsid w:val="00756FE7"/>
    <w:rsid w:val="007665A2"/>
    <w:rsid w:val="00770432"/>
    <w:rsid w:val="007756E0"/>
    <w:rsid w:val="0079418B"/>
    <w:rsid w:val="007949CA"/>
    <w:rsid w:val="007A7E55"/>
    <w:rsid w:val="007B5D04"/>
    <w:rsid w:val="007D032F"/>
    <w:rsid w:val="007D7347"/>
    <w:rsid w:val="007E56AB"/>
    <w:rsid w:val="007E79C1"/>
    <w:rsid w:val="007F0EF9"/>
    <w:rsid w:val="007F2580"/>
    <w:rsid w:val="007F2E3C"/>
    <w:rsid w:val="007F47AF"/>
    <w:rsid w:val="00803D19"/>
    <w:rsid w:val="00815D0B"/>
    <w:rsid w:val="0082077D"/>
    <w:rsid w:val="008316F0"/>
    <w:rsid w:val="0084655C"/>
    <w:rsid w:val="008612B7"/>
    <w:rsid w:val="008642AD"/>
    <w:rsid w:val="0087351A"/>
    <w:rsid w:val="00881E76"/>
    <w:rsid w:val="00886F91"/>
    <w:rsid w:val="008A70DE"/>
    <w:rsid w:val="008C3B57"/>
    <w:rsid w:val="008C6F0F"/>
    <w:rsid w:val="008D11A9"/>
    <w:rsid w:val="008E2F74"/>
    <w:rsid w:val="008F1B64"/>
    <w:rsid w:val="008F22FA"/>
    <w:rsid w:val="008F6841"/>
    <w:rsid w:val="00905A95"/>
    <w:rsid w:val="00905C49"/>
    <w:rsid w:val="0091319A"/>
    <w:rsid w:val="009343A4"/>
    <w:rsid w:val="00937405"/>
    <w:rsid w:val="0096261B"/>
    <w:rsid w:val="00977D83"/>
    <w:rsid w:val="009A3E43"/>
    <w:rsid w:val="009D0255"/>
    <w:rsid w:val="009F6D0D"/>
    <w:rsid w:val="009F7CE0"/>
    <w:rsid w:val="00A0649D"/>
    <w:rsid w:val="00A25FB1"/>
    <w:rsid w:val="00A32487"/>
    <w:rsid w:val="00A40607"/>
    <w:rsid w:val="00A55FCB"/>
    <w:rsid w:val="00A61198"/>
    <w:rsid w:val="00A667A3"/>
    <w:rsid w:val="00A71DCD"/>
    <w:rsid w:val="00A74D03"/>
    <w:rsid w:val="00A8305C"/>
    <w:rsid w:val="00A851EA"/>
    <w:rsid w:val="00A9111E"/>
    <w:rsid w:val="00AA1DB9"/>
    <w:rsid w:val="00AB1F96"/>
    <w:rsid w:val="00AB355E"/>
    <w:rsid w:val="00AB4617"/>
    <w:rsid w:val="00AC15A2"/>
    <w:rsid w:val="00AC79AA"/>
    <w:rsid w:val="00AE1CAF"/>
    <w:rsid w:val="00AE3A5C"/>
    <w:rsid w:val="00AF570C"/>
    <w:rsid w:val="00B0677B"/>
    <w:rsid w:val="00B10A97"/>
    <w:rsid w:val="00B143BD"/>
    <w:rsid w:val="00B31517"/>
    <w:rsid w:val="00B31DBC"/>
    <w:rsid w:val="00B33809"/>
    <w:rsid w:val="00B35C57"/>
    <w:rsid w:val="00B44175"/>
    <w:rsid w:val="00B659AB"/>
    <w:rsid w:val="00B7245E"/>
    <w:rsid w:val="00B7588A"/>
    <w:rsid w:val="00B76813"/>
    <w:rsid w:val="00B876A9"/>
    <w:rsid w:val="00B9223E"/>
    <w:rsid w:val="00B92C94"/>
    <w:rsid w:val="00BA6D02"/>
    <w:rsid w:val="00BB2DD6"/>
    <w:rsid w:val="00BC6770"/>
    <w:rsid w:val="00BD565F"/>
    <w:rsid w:val="00BE131E"/>
    <w:rsid w:val="00BE5A15"/>
    <w:rsid w:val="00BF013E"/>
    <w:rsid w:val="00BF6327"/>
    <w:rsid w:val="00C16454"/>
    <w:rsid w:val="00C175F9"/>
    <w:rsid w:val="00C328D4"/>
    <w:rsid w:val="00C34318"/>
    <w:rsid w:val="00C365B7"/>
    <w:rsid w:val="00C403E0"/>
    <w:rsid w:val="00C4152C"/>
    <w:rsid w:val="00C41C44"/>
    <w:rsid w:val="00C5297D"/>
    <w:rsid w:val="00C717B2"/>
    <w:rsid w:val="00C74B5D"/>
    <w:rsid w:val="00C75C91"/>
    <w:rsid w:val="00C82005"/>
    <w:rsid w:val="00C8446C"/>
    <w:rsid w:val="00CA0BEA"/>
    <w:rsid w:val="00CA4A6D"/>
    <w:rsid w:val="00CA637E"/>
    <w:rsid w:val="00CB1940"/>
    <w:rsid w:val="00CB3FAE"/>
    <w:rsid w:val="00CD37F7"/>
    <w:rsid w:val="00CE0AB6"/>
    <w:rsid w:val="00CE1E7D"/>
    <w:rsid w:val="00CE3FF6"/>
    <w:rsid w:val="00CE46EF"/>
    <w:rsid w:val="00CF17A9"/>
    <w:rsid w:val="00D22CB7"/>
    <w:rsid w:val="00D23190"/>
    <w:rsid w:val="00D26F6C"/>
    <w:rsid w:val="00D27ED6"/>
    <w:rsid w:val="00D459E7"/>
    <w:rsid w:val="00D6071E"/>
    <w:rsid w:val="00D7091C"/>
    <w:rsid w:val="00D72966"/>
    <w:rsid w:val="00D81AA5"/>
    <w:rsid w:val="00D87CD8"/>
    <w:rsid w:val="00D91FCF"/>
    <w:rsid w:val="00D97E0F"/>
    <w:rsid w:val="00DA51A0"/>
    <w:rsid w:val="00DA5D34"/>
    <w:rsid w:val="00DA7D7A"/>
    <w:rsid w:val="00DB14C9"/>
    <w:rsid w:val="00DB6436"/>
    <w:rsid w:val="00DD6693"/>
    <w:rsid w:val="00E0105A"/>
    <w:rsid w:val="00E05C35"/>
    <w:rsid w:val="00E1103C"/>
    <w:rsid w:val="00E12C80"/>
    <w:rsid w:val="00E165C6"/>
    <w:rsid w:val="00E23903"/>
    <w:rsid w:val="00E37483"/>
    <w:rsid w:val="00E40314"/>
    <w:rsid w:val="00E414CA"/>
    <w:rsid w:val="00E42F67"/>
    <w:rsid w:val="00E461FC"/>
    <w:rsid w:val="00E47EF1"/>
    <w:rsid w:val="00E50523"/>
    <w:rsid w:val="00E5235A"/>
    <w:rsid w:val="00E65A95"/>
    <w:rsid w:val="00E7135C"/>
    <w:rsid w:val="00E86255"/>
    <w:rsid w:val="00E87640"/>
    <w:rsid w:val="00E97940"/>
    <w:rsid w:val="00EB0937"/>
    <w:rsid w:val="00EB53AE"/>
    <w:rsid w:val="00EB6F2F"/>
    <w:rsid w:val="00EB7196"/>
    <w:rsid w:val="00EB7ACE"/>
    <w:rsid w:val="00EB7D83"/>
    <w:rsid w:val="00EE711E"/>
    <w:rsid w:val="00EF2597"/>
    <w:rsid w:val="00F03496"/>
    <w:rsid w:val="00F0768A"/>
    <w:rsid w:val="00F14799"/>
    <w:rsid w:val="00F14D85"/>
    <w:rsid w:val="00F151EC"/>
    <w:rsid w:val="00F166B5"/>
    <w:rsid w:val="00F22439"/>
    <w:rsid w:val="00F315CA"/>
    <w:rsid w:val="00F33FF3"/>
    <w:rsid w:val="00F46003"/>
    <w:rsid w:val="00F55F22"/>
    <w:rsid w:val="00F74A6A"/>
    <w:rsid w:val="00F8412C"/>
    <w:rsid w:val="00F91894"/>
    <w:rsid w:val="00F9543C"/>
    <w:rsid w:val="00FA0625"/>
    <w:rsid w:val="00FA10D1"/>
    <w:rsid w:val="00FA2B98"/>
    <w:rsid w:val="00FA3F66"/>
    <w:rsid w:val="00FA4B65"/>
    <w:rsid w:val="00FA5A8E"/>
    <w:rsid w:val="00FB2EEB"/>
    <w:rsid w:val="00FB40C0"/>
    <w:rsid w:val="00FB7346"/>
    <w:rsid w:val="00FC3D14"/>
    <w:rsid w:val="00FD0A3A"/>
    <w:rsid w:val="00FD20CF"/>
    <w:rsid w:val="00FE614D"/>
    <w:rsid w:val="00FF5CD2"/>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4FA8D2"/>
  <w15:chartTrackingRefBased/>
  <w15:docId w15:val="{05796AFB-98AE-4A33-9FA6-E3584D9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439"/>
    <w:pPr>
      <w:overflowPunct w:val="0"/>
      <w:autoSpaceDE w:val="0"/>
      <w:autoSpaceDN w:val="0"/>
      <w:adjustRightInd w:val="0"/>
      <w:spacing w:after="120"/>
      <w:textAlignment w:val="baseline"/>
    </w:pPr>
    <w:rPr>
      <w:rFonts w:ascii="Verdana" w:hAnsi="Verdana"/>
      <w:noProof/>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numPr>
        <w:ilvl w:val="1"/>
        <w:numId w:val="1"/>
      </w:numPr>
      <w:tabs>
        <w:tab w:val="left" w:pos="576"/>
      </w:tabs>
      <w:spacing w:before="240" w:after="60"/>
      <w:outlineLvl w:val="1"/>
    </w:pPr>
    <w:rPr>
      <w:b/>
      <w:sz w:val="24"/>
    </w:rPr>
  </w:style>
  <w:style w:type="paragraph" w:styleId="Heading3">
    <w:name w:val="heading 3"/>
    <w:basedOn w:val="Heading2"/>
    <w:next w:val="Normal"/>
    <w:qFormat/>
    <w:pPr>
      <w:numPr>
        <w:ilvl w:val="2"/>
      </w:numPr>
      <w:tabs>
        <w:tab w:val="clear" w:pos="576"/>
        <w:tab w:val="left" w:pos="720"/>
      </w:tabs>
      <w:outlineLvl w:val="2"/>
    </w:p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8"/>
    </w:rPr>
  </w:style>
  <w:style w:type="paragraph" w:styleId="BodyText">
    <w:name w:val="Body Text"/>
    <w:basedOn w:val="Normal"/>
    <w:pPr>
      <w:jc w:val="center"/>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character" w:customStyle="1" w:styleId="Hyperkobling1">
    <w:name w:val="Hyperkobling1"/>
    <w:rPr>
      <w:color w:val="0000FF"/>
      <w:u w:val="single"/>
    </w:rPr>
  </w:style>
  <w:style w:type="paragraph" w:customStyle="1" w:styleId="Tabell">
    <w:name w:val="Tabell"/>
    <w:basedOn w:val="Normal"/>
    <w:pPr>
      <w:spacing w:before="40" w:after="40"/>
    </w:pPr>
    <w:rPr>
      <w:sz w:val="16"/>
    </w:rPr>
  </w:style>
  <w:style w:type="character" w:customStyle="1" w:styleId="Hyperlink1">
    <w:name w:val="Hyperlink1"/>
    <w:rPr>
      <w:color w:val="0000FF"/>
      <w:u w:val="single"/>
    </w:rPr>
  </w:style>
  <w:style w:type="character" w:styleId="Hyperlink">
    <w:name w:val="Hyperlink"/>
    <w:rsid w:val="00A851EA"/>
    <w:rPr>
      <w:color w:val="0563C1"/>
      <w:u w:val="single"/>
    </w:rPr>
  </w:style>
  <w:style w:type="character" w:styleId="FollowedHyperlink">
    <w:name w:val="FollowedHyperlink"/>
    <w:rsid w:val="00A851EA"/>
    <w:rPr>
      <w:color w:val="954F72"/>
      <w:u w:val="single"/>
    </w:rPr>
  </w:style>
  <w:style w:type="paragraph" w:styleId="BalloonText">
    <w:name w:val="Balloon Text"/>
    <w:basedOn w:val="Normal"/>
    <w:link w:val="BalloonTextChar"/>
    <w:rsid w:val="00097DCF"/>
    <w:pPr>
      <w:spacing w:after="0"/>
    </w:pPr>
    <w:rPr>
      <w:rFonts w:ascii="Segoe UI" w:hAnsi="Segoe UI" w:cs="Segoe UI"/>
      <w:sz w:val="18"/>
      <w:szCs w:val="18"/>
    </w:rPr>
  </w:style>
  <w:style w:type="character" w:customStyle="1" w:styleId="BalloonTextChar">
    <w:name w:val="Balloon Text Char"/>
    <w:link w:val="BalloonText"/>
    <w:rsid w:val="00097DCF"/>
    <w:rPr>
      <w:rFonts w:ascii="Segoe UI" w:hAnsi="Segoe UI" w:cs="Segoe UI"/>
      <w:noProof/>
      <w:sz w:val="18"/>
      <w:szCs w:val="18"/>
      <w:lang w:val="en-GB" w:eastAsia="en-GB"/>
    </w:rPr>
  </w:style>
  <w:style w:type="paragraph" w:styleId="ListParagraph">
    <w:name w:val="List Paragraph"/>
    <w:basedOn w:val="Normal"/>
    <w:uiPriority w:val="34"/>
    <w:qFormat/>
    <w:rsid w:val="00BE1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799348">
      <w:bodyDiv w:val="1"/>
      <w:marLeft w:val="0"/>
      <w:marRight w:val="0"/>
      <w:marTop w:val="0"/>
      <w:marBottom w:val="0"/>
      <w:divBdr>
        <w:top w:val="none" w:sz="0" w:space="0" w:color="auto"/>
        <w:left w:val="none" w:sz="0" w:space="0" w:color="auto"/>
        <w:bottom w:val="none" w:sz="0" w:space="0" w:color="auto"/>
        <w:right w:val="none" w:sz="0" w:space="0" w:color="auto"/>
      </w:divBdr>
    </w:div>
    <w:div w:id="757286306">
      <w:bodyDiv w:val="1"/>
      <w:marLeft w:val="0"/>
      <w:marRight w:val="0"/>
      <w:marTop w:val="0"/>
      <w:marBottom w:val="0"/>
      <w:divBdr>
        <w:top w:val="none" w:sz="0" w:space="0" w:color="auto"/>
        <w:left w:val="none" w:sz="0" w:space="0" w:color="auto"/>
        <w:bottom w:val="none" w:sz="0" w:space="0" w:color="auto"/>
        <w:right w:val="none" w:sz="0" w:space="0" w:color="auto"/>
      </w:divBdr>
    </w:div>
    <w:div w:id="1797260377">
      <w:bodyDiv w:val="1"/>
      <w:marLeft w:val="0"/>
      <w:marRight w:val="0"/>
      <w:marTop w:val="0"/>
      <w:marBottom w:val="0"/>
      <w:divBdr>
        <w:top w:val="none" w:sz="0" w:space="0" w:color="auto"/>
        <w:left w:val="none" w:sz="0" w:space="0" w:color="auto"/>
        <w:bottom w:val="none" w:sz="0" w:space="0" w:color="auto"/>
        <w:right w:val="none" w:sz="0" w:space="0" w:color="auto"/>
      </w:divBdr>
    </w:div>
    <w:div w:id="206748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3556</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Møtereferat UMT</vt:lpstr>
      <vt:lpstr>Møtereferat UMT</vt:lpstr>
    </vt:vector>
  </TitlesOfParts>
  <Company>If</Company>
  <LinksUpToDate>false</LinksUpToDate>
  <CharactersWithSpaces>4225</CharactersWithSpaces>
  <SharedDoc>false</SharedDoc>
  <HLinks>
    <vt:vector size="12" baseType="variant">
      <vt:variant>
        <vt:i4>1376328</vt:i4>
      </vt:variant>
      <vt:variant>
        <vt:i4>3</vt:i4>
      </vt:variant>
      <vt:variant>
        <vt:i4>0</vt:i4>
      </vt:variant>
      <vt:variant>
        <vt:i4>5</vt:i4>
      </vt:variant>
      <vt:variant>
        <vt:lpwstr>\\SWR11956\DFS_Data\COM_Commercial\AnsEidUW\Eiendom\EML\EML .pptx</vt:lpwstr>
      </vt:variant>
      <vt:variant>
        <vt:lpwstr/>
      </vt:variant>
      <vt:variant>
        <vt:i4>1835100</vt:i4>
      </vt:variant>
      <vt:variant>
        <vt:i4>0</vt:i4>
      </vt:variant>
      <vt:variant>
        <vt:i4>0</vt:i4>
      </vt:variant>
      <vt:variant>
        <vt:i4>5</vt:i4>
      </vt:variant>
      <vt:variant>
        <vt:lpwstr>http://intra.ifint.biz/commercial/underwriting.nsf/noframes/25215c0b3ec2c06fc1258050003d16f3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Møtereferat UMT</dc:title>
  <dc:subject/>
  <dc:creator>Arild Juell-Andersen</dc:creator>
  <cp:keywords/>
  <cp:lastModifiedBy>Jacobsen, Siri</cp:lastModifiedBy>
  <cp:revision>2</cp:revision>
  <cp:lastPrinted>2017-01-18T06:41:00Z</cp:lastPrinted>
  <dcterms:created xsi:type="dcterms:W3CDTF">2020-11-12T21:15:00Z</dcterms:created>
  <dcterms:modified xsi:type="dcterms:W3CDTF">2020-11-12T21:15:00Z</dcterms:modified>
</cp:coreProperties>
</file>